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B77014" w:rsidRPr="00E32341" w:rsidRDefault="00000000" w:rsidP="00E32341">
      <w:pPr>
        <w:spacing w:line="360" w:lineRule="auto"/>
        <w:jc w:val="center"/>
        <w:rPr>
          <w:rFonts w:ascii="Garamond" w:eastAsia="Calibri" w:hAnsi="Garamond" w:cs="Calibri"/>
        </w:rPr>
      </w:pPr>
      <w:r w:rsidRPr="00E32341">
        <w:rPr>
          <w:rFonts w:ascii="Garamond" w:eastAsia="Calibri" w:hAnsi="Garamond" w:cs="Calibri"/>
          <w:b/>
          <w:sz w:val="28"/>
          <w:szCs w:val="28"/>
        </w:rPr>
        <w:t>Kant on Language and Cognition Workshop</w:t>
      </w:r>
    </w:p>
    <w:p w14:paraId="00000002" w14:textId="77777777" w:rsidR="00B77014" w:rsidRPr="00E32341" w:rsidRDefault="00000000" w:rsidP="00E32341">
      <w:pPr>
        <w:spacing w:after="0" w:line="360" w:lineRule="auto"/>
        <w:jc w:val="center"/>
        <w:rPr>
          <w:rFonts w:ascii="Garamond" w:eastAsia="Calibri" w:hAnsi="Garamond" w:cs="Calibri"/>
        </w:rPr>
      </w:pPr>
      <w:r w:rsidRPr="00E32341">
        <w:rPr>
          <w:rFonts w:ascii="Garamond" w:eastAsia="Calibri" w:hAnsi="Garamond" w:cs="Calibri"/>
        </w:rPr>
        <w:t xml:space="preserve"> February 14, 2025, Goethe Universität Frankfurt</w:t>
      </w:r>
    </w:p>
    <w:p w14:paraId="00000003" w14:textId="77777777" w:rsidR="00B77014" w:rsidRPr="00E32341" w:rsidRDefault="00000000" w:rsidP="00E32341">
      <w:pPr>
        <w:spacing w:after="0" w:line="360" w:lineRule="auto"/>
        <w:jc w:val="center"/>
        <w:rPr>
          <w:rFonts w:ascii="Garamond" w:eastAsia="Calibri" w:hAnsi="Garamond" w:cs="Calibri"/>
        </w:rPr>
      </w:pPr>
      <w:proofErr w:type="spellStart"/>
      <w:r w:rsidRPr="00E32341">
        <w:rPr>
          <w:rFonts w:ascii="Garamond" w:eastAsia="Calibri" w:hAnsi="Garamond" w:cs="Calibri"/>
        </w:rPr>
        <w:t>Seminarhaus</w:t>
      </w:r>
      <w:proofErr w:type="spellEnd"/>
      <w:r w:rsidRPr="00E32341">
        <w:rPr>
          <w:rFonts w:ascii="Garamond" w:eastAsia="Calibri" w:hAnsi="Garamond" w:cs="Calibri"/>
        </w:rPr>
        <w:t xml:space="preserve"> (SH) 1.106, Campus Westend </w:t>
      </w:r>
    </w:p>
    <w:p w14:paraId="00000004" w14:textId="77777777" w:rsidR="00B77014" w:rsidRPr="00E32341" w:rsidRDefault="00000000" w:rsidP="00E32341">
      <w:pPr>
        <w:spacing w:after="0" w:line="360" w:lineRule="auto"/>
        <w:jc w:val="center"/>
        <w:rPr>
          <w:rFonts w:ascii="Garamond" w:eastAsia="Calibri" w:hAnsi="Garamond" w:cs="Calibri"/>
        </w:rPr>
      </w:pPr>
      <w:r w:rsidRPr="00E32341">
        <w:rPr>
          <w:rFonts w:ascii="Garamond" w:eastAsia="Calibri" w:hAnsi="Garamond" w:cs="Calibri"/>
        </w:rPr>
        <w:t xml:space="preserve">Organizers: Davide Dalla Rosa und Lewis Wang </w:t>
      </w:r>
    </w:p>
    <w:p w14:paraId="00000005" w14:textId="77777777" w:rsidR="00B77014" w:rsidRPr="00E32341" w:rsidRDefault="00B77014" w:rsidP="00E32341">
      <w:pPr>
        <w:spacing w:after="0" w:line="360" w:lineRule="auto"/>
        <w:jc w:val="center"/>
        <w:rPr>
          <w:rFonts w:ascii="Garamond" w:eastAsia="Calibri" w:hAnsi="Garamond" w:cs="Calibri"/>
        </w:rPr>
      </w:pPr>
    </w:p>
    <w:p w14:paraId="00000006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9.</w:t>
      </w:r>
      <w:r w:rsidRPr="00E32341">
        <w:rPr>
          <w:rFonts w:ascii="Garamond" w:eastAsia="Calibri" w:hAnsi="Garamond" w:cs="Calibri"/>
        </w:rPr>
        <w:t>30</w:t>
      </w:r>
      <w:r w:rsidRPr="00E32341">
        <w:rPr>
          <w:rFonts w:ascii="Garamond" w:eastAsia="Calibri" w:hAnsi="Garamond" w:cs="Calibri"/>
          <w:color w:val="000000"/>
        </w:rPr>
        <w:t xml:space="preserve"> – 9.</w:t>
      </w:r>
      <w:r w:rsidRPr="00E32341">
        <w:rPr>
          <w:rFonts w:ascii="Garamond" w:eastAsia="Calibri" w:hAnsi="Garamond" w:cs="Calibri"/>
        </w:rPr>
        <w:t>35</w:t>
      </w:r>
      <w:r w:rsidRPr="00E32341">
        <w:rPr>
          <w:rFonts w:ascii="Garamond" w:eastAsia="Calibri" w:hAnsi="Garamond" w:cs="Calibri"/>
          <w:color w:val="000000"/>
        </w:rPr>
        <w:t xml:space="preserve">: </w:t>
      </w:r>
      <w:r w:rsidRPr="00E32341">
        <w:rPr>
          <w:rFonts w:ascii="Garamond" w:eastAsia="Calibri" w:hAnsi="Garamond" w:cs="Calibri"/>
        </w:rPr>
        <w:t>Introduction</w:t>
      </w:r>
      <w:r w:rsidRPr="00E32341">
        <w:rPr>
          <w:rFonts w:ascii="Garamond" w:eastAsia="Calibri" w:hAnsi="Garamond" w:cs="Calibri"/>
          <w:color w:val="000000"/>
        </w:rPr>
        <w:t>: Language in Kant (Davide Dalla Rosa &amp; Lewis Wang)</w:t>
      </w:r>
    </w:p>
    <w:p w14:paraId="00000007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9.</w:t>
      </w:r>
      <w:r w:rsidRPr="00E32341">
        <w:rPr>
          <w:rFonts w:ascii="Garamond" w:eastAsia="Calibri" w:hAnsi="Garamond" w:cs="Calibri"/>
        </w:rPr>
        <w:t>35</w:t>
      </w:r>
      <w:r w:rsidRPr="00E32341">
        <w:rPr>
          <w:rFonts w:ascii="Garamond" w:eastAsia="Calibri" w:hAnsi="Garamond" w:cs="Calibri"/>
          <w:color w:val="000000"/>
        </w:rPr>
        <w:t xml:space="preserve"> – 10.</w:t>
      </w:r>
      <w:r w:rsidRPr="00E32341">
        <w:rPr>
          <w:rFonts w:ascii="Garamond" w:eastAsia="Calibri" w:hAnsi="Garamond" w:cs="Calibri"/>
        </w:rPr>
        <w:t>35</w:t>
      </w:r>
      <w:r w:rsidRPr="00E32341">
        <w:rPr>
          <w:rFonts w:ascii="Garamond" w:eastAsia="Calibri" w:hAnsi="Garamond" w:cs="Calibri"/>
          <w:color w:val="000000"/>
        </w:rPr>
        <w:t xml:space="preserve">: Stephanie Grüne (FU Berlin): Kant on the </w:t>
      </w:r>
      <w:r w:rsidRPr="00E32341">
        <w:rPr>
          <w:rFonts w:ascii="Garamond" w:eastAsia="Calibri" w:hAnsi="Garamond" w:cs="Calibri"/>
        </w:rPr>
        <w:t xml:space="preserve">Relation between </w:t>
      </w:r>
      <w:r w:rsidRPr="00E32341">
        <w:rPr>
          <w:rFonts w:ascii="Garamond" w:eastAsia="Calibri" w:hAnsi="Garamond" w:cs="Calibri"/>
          <w:color w:val="000000"/>
        </w:rPr>
        <w:t xml:space="preserve">Cognition and Knowledge (Chair: </w:t>
      </w:r>
      <w:r w:rsidRPr="00E32341">
        <w:rPr>
          <w:rFonts w:ascii="Garamond" w:eastAsia="Calibri" w:hAnsi="Garamond" w:cs="Calibri"/>
        </w:rPr>
        <w:t xml:space="preserve">Marcus </w:t>
      </w:r>
      <w:proofErr w:type="spellStart"/>
      <w:r w:rsidRPr="00E32341">
        <w:rPr>
          <w:rFonts w:ascii="Garamond" w:eastAsia="Calibri" w:hAnsi="Garamond" w:cs="Calibri"/>
        </w:rPr>
        <w:t>Willaschek</w:t>
      </w:r>
      <w:proofErr w:type="spellEnd"/>
      <w:r w:rsidRPr="00E32341">
        <w:rPr>
          <w:rFonts w:ascii="Garamond" w:eastAsia="Calibri" w:hAnsi="Garamond" w:cs="Calibri"/>
        </w:rPr>
        <w:t>)</w:t>
      </w:r>
    </w:p>
    <w:p w14:paraId="00000008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10</w:t>
      </w:r>
      <w:r w:rsidRPr="00E32341">
        <w:rPr>
          <w:rFonts w:ascii="Garamond" w:eastAsia="Calibri" w:hAnsi="Garamond" w:cs="Calibri"/>
        </w:rPr>
        <w:t>.40</w:t>
      </w:r>
      <w:r w:rsidRPr="00E32341">
        <w:rPr>
          <w:rFonts w:ascii="Garamond" w:eastAsia="Calibri" w:hAnsi="Garamond" w:cs="Calibri"/>
          <w:color w:val="000000"/>
        </w:rPr>
        <w:t xml:space="preserve"> – </w:t>
      </w:r>
      <w:r w:rsidRPr="00E32341">
        <w:rPr>
          <w:rFonts w:ascii="Garamond" w:eastAsia="Calibri" w:hAnsi="Garamond" w:cs="Calibri"/>
        </w:rPr>
        <w:t>11.30</w:t>
      </w:r>
      <w:r w:rsidRPr="00E32341">
        <w:rPr>
          <w:rFonts w:ascii="Garamond" w:eastAsia="Calibri" w:hAnsi="Garamond" w:cs="Calibri"/>
          <w:color w:val="000000"/>
        </w:rPr>
        <w:t xml:space="preserve">: Lewis Wang (Boston University): Kant on Sense and Reference </w:t>
      </w:r>
      <w:r w:rsidRPr="00E32341">
        <w:rPr>
          <w:rFonts w:ascii="Garamond" w:eastAsia="Calibri" w:hAnsi="Garamond" w:cs="Calibri"/>
        </w:rPr>
        <w:t xml:space="preserve">(Chair: Marcus </w:t>
      </w:r>
      <w:proofErr w:type="spellStart"/>
      <w:r w:rsidRPr="00E32341">
        <w:rPr>
          <w:rFonts w:ascii="Garamond" w:eastAsia="Calibri" w:hAnsi="Garamond" w:cs="Calibri"/>
        </w:rPr>
        <w:t>Willaschek</w:t>
      </w:r>
      <w:proofErr w:type="spellEnd"/>
      <w:r w:rsidRPr="00E32341">
        <w:rPr>
          <w:rFonts w:ascii="Garamond" w:eastAsia="Calibri" w:hAnsi="Garamond" w:cs="Calibri"/>
        </w:rPr>
        <w:t>)</w:t>
      </w:r>
    </w:p>
    <w:p w14:paraId="00000009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</w:rPr>
      </w:pPr>
      <w:r w:rsidRPr="00E32341">
        <w:rPr>
          <w:rFonts w:ascii="Garamond" w:eastAsia="Calibri" w:hAnsi="Garamond" w:cs="Calibri"/>
          <w:color w:val="000000"/>
        </w:rPr>
        <w:t>1</w:t>
      </w:r>
      <w:r w:rsidRPr="00E32341">
        <w:rPr>
          <w:rFonts w:ascii="Garamond" w:eastAsia="Calibri" w:hAnsi="Garamond" w:cs="Calibri"/>
        </w:rPr>
        <w:t>1.30</w:t>
      </w:r>
      <w:r w:rsidRPr="00E32341">
        <w:rPr>
          <w:rFonts w:ascii="Garamond" w:eastAsia="Calibri" w:hAnsi="Garamond" w:cs="Calibri"/>
          <w:color w:val="000000"/>
        </w:rPr>
        <w:t xml:space="preserve"> – 11.</w:t>
      </w:r>
      <w:r w:rsidRPr="00E32341">
        <w:rPr>
          <w:rFonts w:ascii="Garamond" w:eastAsia="Calibri" w:hAnsi="Garamond" w:cs="Calibri"/>
        </w:rPr>
        <w:t>50</w:t>
      </w:r>
      <w:r w:rsidRPr="00E32341">
        <w:rPr>
          <w:rFonts w:ascii="Garamond" w:eastAsia="Calibri" w:hAnsi="Garamond" w:cs="Calibri"/>
          <w:color w:val="000000"/>
        </w:rPr>
        <w:t xml:space="preserve">: </w:t>
      </w:r>
      <w:r w:rsidRPr="00E32341">
        <w:rPr>
          <w:rFonts w:ascii="Garamond" w:eastAsia="Calibri" w:hAnsi="Garamond" w:cs="Calibri"/>
        </w:rPr>
        <w:t>Coffee Break</w:t>
      </w:r>
    </w:p>
    <w:p w14:paraId="0000000A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11</w:t>
      </w:r>
      <w:r w:rsidRPr="00E32341">
        <w:rPr>
          <w:rFonts w:ascii="Garamond" w:eastAsia="Calibri" w:hAnsi="Garamond" w:cs="Calibri"/>
        </w:rPr>
        <w:t>.50</w:t>
      </w:r>
      <w:r w:rsidRPr="00E32341">
        <w:rPr>
          <w:rFonts w:ascii="Garamond" w:eastAsia="Calibri" w:hAnsi="Garamond" w:cs="Calibri"/>
          <w:color w:val="000000"/>
        </w:rPr>
        <w:t xml:space="preserve"> – 1</w:t>
      </w:r>
      <w:r w:rsidRPr="00E32341">
        <w:rPr>
          <w:rFonts w:ascii="Garamond" w:eastAsia="Calibri" w:hAnsi="Garamond" w:cs="Calibri"/>
        </w:rPr>
        <w:t>2.40</w:t>
      </w:r>
      <w:r w:rsidRPr="00E32341">
        <w:rPr>
          <w:rFonts w:ascii="Garamond" w:eastAsia="Calibri" w:hAnsi="Garamond" w:cs="Calibri"/>
          <w:color w:val="000000"/>
        </w:rPr>
        <w:t xml:space="preserve">: Till Hoeppner (Ashoka University): </w:t>
      </w:r>
      <w:r w:rsidRPr="00E32341">
        <w:rPr>
          <w:rFonts w:ascii="Garamond" w:eastAsia="Calibri" w:hAnsi="Garamond" w:cs="Calibri"/>
        </w:rPr>
        <w:t>Kant’s Solution to the Problem of the Unity of the Proposition (Chair: Davide Dalla Rosa)</w:t>
      </w:r>
    </w:p>
    <w:p w14:paraId="0000000B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1</w:t>
      </w:r>
      <w:r w:rsidRPr="00E32341">
        <w:rPr>
          <w:rFonts w:ascii="Garamond" w:eastAsia="Calibri" w:hAnsi="Garamond" w:cs="Calibri"/>
        </w:rPr>
        <w:t>2.40</w:t>
      </w:r>
      <w:r w:rsidRPr="00E32341">
        <w:rPr>
          <w:rFonts w:ascii="Garamond" w:eastAsia="Calibri" w:hAnsi="Garamond" w:cs="Calibri"/>
          <w:color w:val="000000"/>
        </w:rPr>
        <w:t xml:space="preserve"> – 1</w:t>
      </w:r>
      <w:r w:rsidRPr="00E32341">
        <w:rPr>
          <w:rFonts w:ascii="Garamond" w:eastAsia="Calibri" w:hAnsi="Garamond" w:cs="Calibri"/>
        </w:rPr>
        <w:t>4.00</w:t>
      </w:r>
      <w:r w:rsidRPr="00E32341">
        <w:rPr>
          <w:rFonts w:ascii="Garamond" w:eastAsia="Calibri" w:hAnsi="Garamond" w:cs="Calibri"/>
          <w:color w:val="000000"/>
        </w:rPr>
        <w:t xml:space="preserve">: </w:t>
      </w:r>
      <w:r w:rsidRPr="00E32341">
        <w:rPr>
          <w:rFonts w:ascii="Garamond" w:eastAsia="Calibri" w:hAnsi="Garamond" w:cs="Calibri"/>
        </w:rPr>
        <w:t>Lunch</w:t>
      </w:r>
    </w:p>
    <w:p w14:paraId="0000000C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1</w:t>
      </w:r>
      <w:r w:rsidRPr="00E32341">
        <w:rPr>
          <w:rFonts w:ascii="Garamond" w:eastAsia="Calibri" w:hAnsi="Garamond" w:cs="Calibri"/>
        </w:rPr>
        <w:t>4.00</w:t>
      </w:r>
      <w:r w:rsidRPr="00E32341">
        <w:rPr>
          <w:rFonts w:ascii="Garamond" w:eastAsia="Calibri" w:hAnsi="Garamond" w:cs="Calibri"/>
          <w:color w:val="000000"/>
        </w:rPr>
        <w:t xml:space="preserve"> – 1</w:t>
      </w:r>
      <w:r w:rsidRPr="00E32341">
        <w:rPr>
          <w:rFonts w:ascii="Garamond" w:eastAsia="Calibri" w:hAnsi="Garamond" w:cs="Calibri"/>
        </w:rPr>
        <w:t>4</w:t>
      </w:r>
      <w:r w:rsidRPr="00E32341">
        <w:rPr>
          <w:rFonts w:ascii="Garamond" w:eastAsia="Calibri" w:hAnsi="Garamond" w:cs="Calibri"/>
          <w:color w:val="000000"/>
        </w:rPr>
        <w:t>.</w:t>
      </w:r>
      <w:r w:rsidRPr="00E32341">
        <w:rPr>
          <w:rFonts w:ascii="Garamond" w:eastAsia="Calibri" w:hAnsi="Garamond" w:cs="Calibri"/>
        </w:rPr>
        <w:t>50</w:t>
      </w:r>
      <w:r w:rsidRPr="00E32341">
        <w:rPr>
          <w:rFonts w:ascii="Garamond" w:eastAsia="Calibri" w:hAnsi="Garamond" w:cs="Calibri"/>
          <w:color w:val="000000"/>
        </w:rPr>
        <w:t xml:space="preserve">: Davide Dalla Rosa (GU Frankfurt):  Suspension of Judgment and Suspension of Assent </w:t>
      </w:r>
      <w:r w:rsidRPr="00E32341">
        <w:rPr>
          <w:rFonts w:ascii="Garamond" w:eastAsia="Calibri" w:hAnsi="Garamond" w:cs="Calibri"/>
        </w:rPr>
        <w:t>(Chair: Lewis Wang)</w:t>
      </w:r>
      <w:r w:rsidRPr="00E32341">
        <w:rPr>
          <w:rFonts w:ascii="Garamond" w:eastAsia="Calibri" w:hAnsi="Garamond" w:cs="Calibri"/>
          <w:color w:val="000000"/>
        </w:rPr>
        <w:t xml:space="preserve">                                                                                                                        </w:t>
      </w:r>
    </w:p>
    <w:p w14:paraId="0000000D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1</w:t>
      </w:r>
      <w:r w:rsidRPr="00E32341">
        <w:rPr>
          <w:rFonts w:ascii="Garamond" w:eastAsia="Calibri" w:hAnsi="Garamond" w:cs="Calibri"/>
        </w:rPr>
        <w:t>4</w:t>
      </w:r>
      <w:r w:rsidRPr="00E32341">
        <w:rPr>
          <w:rFonts w:ascii="Garamond" w:eastAsia="Calibri" w:hAnsi="Garamond" w:cs="Calibri"/>
          <w:color w:val="000000"/>
        </w:rPr>
        <w:t>.</w:t>
      </w:r>
      <w:r w:rsidRPr="00E32341">
        <w:rPr>
          <w:rFonts w:ascii="Garamond" w:eastAsia="Calibri" w:hAnsi="Garamond" w:cs="Calibri"/>
        </w:rPr>
        <w:t>55</w:t>
      </w:r>
      <w:r w:rsidRPr="00E32341">
        <w:rPr>
          <w:rFonts w:ascii="Garamond" w:eastAsia="Calibri" w:hAnsi="Garamond" w:cs="Calibri"/>
          <w:color w:val="000000"/>
        </w:rPr>
        <w:t xml:space="preserve"> – 1</w:t>
      </w:r>
      <w:r w:rsidRPr="00E32341">
        <w:rPr>
          <w:rFonts w:ascii="Garamond" w:eastAsia="Calibri" w:hAnsi="Garamond" w:cs="Calibri"/>
        </w:rPr>
        <w:t>5.45</w:t>
      </w:r>
      <w:r w:rsidRPr="00E32341">
        <w:rPr>
          <w:rFonts w:ascii="Garamond" w:eastAsia="Calibri" w:hAnsi="Garamond" w:cs="Calibri"/>
          <w:color w:val="000000"/>
        </w:rPr>
        <w:t xml:space="preserve">: Mario </w:t>
      </w:r>
      <w:proofErr w:type="spellStart"/>
      <w:r w:rsidRPr="00E32341">
        <w:rPr>
          <w:rFonts w:ascii="Garamond" w:eastAsia="Calibri" w:hAnsi="Garamond" w:cs="Calibri"/>
          <w:color w:val="000000"/>
        </w:rPr>
        <w:t>Schärli</w:t>
      </w:r>
      <w:proofErr w:type="spellEnd"/>
      <w:r w:rsidRPr="00E32341">
        <w:rPr>
          <w:rFonts w:ascii="Garamond" w:eastAsia="Calibri" w:hAnsi="Garamond" w:cs="Calibri"/>
          <w:color w:val="000000"/>
        </w:rPr>
        <w:t xml:space="preserve"> (HU Berlin): </w:t>
      </w:r>
      <w:r w:rsidRPr="00E32341">
        <w:rPr>
          <w:rFonts w:ascii="Garamond" w:eastAsia="Calibri" w:hAnsi="Garamond" w:cs="Calibri"/>
        </w:rPr>
        <w:t>Force All the Way Down. Kant, Problematic Judgments, the Force-Content Distinction (Chair: Lewis Wang)</w:t>
      </w:r>
    </w:p>
    <w:p w14:paraId="0000000E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1</w:t>
      </w:r>
      <w:r w:rsidRPr="00E32341">
        <w:rPr>
          <w:rFonts w:ascii="Garamond" w:eastAsia="Calibri" w:hAnsi="Garamond" w:cs="Calibri"/>
        </w:rPr>
        <w:t>5.45</w:t>
      </w:r>
      <w:r w:rsidRPr="00E32341">
        <w:rPr>
          <w:rFonts w:ascii="Garamond" w:eastAsia="Calibri" w:hAnsi="Garamond" w:cs="Calibri"/>
          <w:color w:val="000000"/>
        </w:rPr>
        <w:t xml:space="preserve"> – 1</w:t>
      </w:r>
      <w:r w:rsidRPr="00E32341">
        <w:rPr>
          <w:rFonts w:ascii="Garamond" w:eastAsia="Calibri" w:hAnsi="Garamond" w:cs="Calibri"/>
        </w:rPr>
        <w:t>6.05</w:t>
      </w:r>
      <w:r w:rsidRPr="00E32341">
        <w:rPr>
          <w:rFonts w:ascii="Garamond" w:eastAsia="Calibri" w:hAnsi="Garamond" w:cs="Calibri"/>
          <w:color w:val="000000"/>
        </w:rPr>
        <w:t xml:space="preserve">: </w:t>
      </w:r>
      <w:r w:rsidRPr="00E32341">
        <w:rPr>
          <w:rFonts w:ascii="Garamond" w:eastAsia="Calibri" w:hAnsi="Garamond" w:cs="Calibri"/>
        </w:rPr>
        <w:t>Coffee Break</w:t>
      </w:r>
    </w:p>
    <w:p w14:paraId="0000000F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Garamond" w:eastAsia="Calibri" w:hAnsi="Garamond" w:cs="Calibri"/>
          <w:color w:val="000000"/>
        </w:rPr>
      </w:pPr>
      <w:r w:rsidRPr="00E32341">
        <w:rPr>
          <w:rFonts w:ascii="Garamond" w:eastAsia="Calibri" w:hAnsi="Garamond" w:cs="Calibri"/>
          <w:color w:val="000000"/>
        </w:rPr>
        <w:t>1</w:t>
      </w:r>
      <w:r w:rsidRPr="00E32341">
        <w:rPr>
          <w:rFonts w:ascii="Garamond" w:eastAsia="Calibri" w:hAnsi="Garamond" w:cs="Calibri"/>
        </w:rPr>
        <w:t>6.05</w:t>
      </w:r>
      <w:r w:rsidRPr="00E32341">
        <w:rPr>
          <w:rFonts w:ascii="Garamond" w:eastAsia="Calibri" w:hAnsi="Garamond" w:cs="Calibri"/>
          <w:color w:val="000000"/>
        </w:rPr>
        <w:t xml:space="preserve"> – 1</w:t>
      </w:r>
      <w:r w:rsidRPr="00E32341">
        <w:rPr>
          <w:rFonts w:ascii="Garamond" w:eastAsia="Calibri" w:hAnsi="Garamond" w:cs="Calibri"/>
        </w:rPr>
        <w:t>6.55</w:t>
      </w:r>
      <w:r w:rsidRPr="00E32341">
        <w:rPr>
          <w:rFonts w:ascii="Garamond" w:eastAsia="Calibri" w:hAnsi="Garamond" w:cs="Calibri"/>
          <w:color w:val="000000"/>
        </w:rPr>
        <w:t xml:space="preserve">: Luigi </w:t>
      </w:r>
      <w:proofErr w:type="spellStart"/>
      <w:r w:rsidRPr="00E32341">
        <w:rPr>
          <w:rFonts w:ascii="Garamond" w:eastAsia="Calibri" w:hAnsi="Garamond" w:cs="Calibri"/>
          <w:color w:val="000000"/>
        </w:rPr>
        <w:t>Filieri</w:t>
      </w:r>
      <w:proofErr w:type="spellEnd"/>
      <w:r w:rsidRPr="00E32341">
        <w:rPr>
          <w:rFonts w:ascii="Garamond" w:eastAsia="Calibri" w:hAnsi="Garamond" w:cs="Calibri"/>
          <w:color w:val="000000"/>
        </w:rPr>
        <w:t xml:space="preserve"> (JGU Mainz): Schemata as Propositional Exponents for Cognitive Principles </w:t>
      </w:r>
      <w:r w:rsidRPr="00E32341">
        <w:rPr>
          <w:rFonts w:ascii="Garamond" w:eastAsia="Calibri" w:hAnsi="Garamond" w:cs="Calibri"/>
        </w:rPr>
        <w:t>(Chair: Davide Dalla Rosa)</w:t>
      </w:r>
    </w:p>
    <w:p w14:paraId="00000010" w14:textId="77777777" w:rsidR="00B77014" w:rsidRPr="00E32341" w:rsidRDefault="00000000" w:rsidP="00E3234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rFonts w:ascii="Garamond" w:eastAsia="Calibri" w:hAnsi="Garamond" w:cs="Calibri"/>
          <w:highlight w:val="yellow"/>
        </w:rPr>
      </w:pPr>
      <w:r w:rsidRPr="00E32341">
        <w:rPr>
          <w:rFonts w:ascii="Garamond" w:eastAsia="Calibri" w:hAnsi="Garamond" w:cs="Calibri"/>
          <w:color w:val="000000"/>
        </w:rPr>
        <w:t>1</w:t>
      </w:r>
      <w:r w:rsidRPr="00E32341">
        <w:rPr>
          <w:rFonts w:ascii="Garamond" w:eastAsia="Calibri" w:hAnsi="Garamond" w:cs="Calibri"/>
        </w:rPr>
        <w:t>7.00</w:t>
      </w:r>
      <w:r w:rsidRPr="00E32341">
        <w:rPr>
          <w:rFonts w:ascii="Garamond" w:eastAsia="Calibri" w:hAnsi="Garamond" w:cs="Calibri"/>
          <w:color w:val="000000"/>
        </w:rPr>
        <w:t xml:space="preserve"> – 1</w:t>
      </w:r>
      <w:r w:rsidRPr="00E32341">
        <w:rPr>
          <w:rFonts w:ascii="Garamond" w:eastAsia="Calibri" w:hAnsi="Garamond" w:cs="Calibri"/>
        </w:rPr>
        <w:t>8.00</w:t>
      </w:r>
      <w:r w:rsidRPr="00E32341">
        <w:rPr>
          <w:rFonts w:ascii="Garamond" w:eastAsia="Calibri" w:hAnsi="Garamond" w:cs="Calibri"/>
          <w:color w:val="000000"/>
        </w:rPr>
        <w:t>: Alexandra Newton (UC Riverside): Kant on Truth (</w:t>
      </w:r>
      <w:r w:rsidRPr="00E32341">
        <w:rPr>
          <w:rFonts w:ascii="Garamond" w:eastAsia="Calibri" w:hAnsi="Garamond" w:cs="Calibri"/>
          <w:i/>
          <w:color w:val="000000"/>
        </w:rPr>
        <w:t>online</w:t>
      </w:r>
      <w:r w:rsidRPr="00E32341">
        <w:rPr>
          <w:rFonts w:ascii="Garamond" w:eastAsia="Calibri" w:hAnsi="Garamond" w:cs="Calibri"/>
          <w:color w:val="000000"/>
        </w:rPr>
        <w:t xml:space="preserve">) </w:t>
      </w:r>
      <w:r w:rsidRPr="00E32341">
        <w:rPr>
          <w:rFonts w:ascii="Garamond" w:eastAsia="Calibri" w:hAnsi="Garamond" w:cs="Calibri"/>
        </w:rPr>
        <w:t>(Chair: Davide Dalla Rosa)</w:t>
      </w:r>
    </w:p>
    <w:p w14:paraId="00000011" w14:textId="77777777" w:rsidR="00B77014" w:rsidRPr="00E32341" w:rsidRDefault="00000000" w:rsidP="00E32341">
      <w:pPr>
        <w:spacing w:line="360" w:lineRule="auto"/>
        <w:rPr>
          <w:rFonts w:ascii="Garamond" w:eastAsia="Calibri" w:hAnsi="Garamond" w:cs="Calibri"/>
        </w:rPr>
      </w:pPr>
      <w:r w:rsidRPr="00E32341">
        <w:rPr>
          <w:rFonts w:ascii="Garamond" w:eastAsia="Calibri" w:hAnsi="Garamond" w:cs="Calibri"/>
        </w:rPr>
        <w:t xml:space="preserve">Sponsored by </w:t>
      </w:r>
      <w:proofErr w:type="spellStart"/>
      <w:r w:rsidRPr="00E32341">
        <w:rPr>
          <w:rFonts w:ascii="Garamond" w:eastAsia="Calibri" w:hAnsi="Garamond" w:cs="Calibri"/>
        </w:rPr>
        <w:t>Institut</w:t>
      </w:r>
      <w:proofErr w:type="spellEnd"/>
      <w:r w:rsidRPr="00E32341">
        <w:rPr>
          <w:rFonts w:ascii="Garamond" w:eastAsia="Calibri" w:hAnsi="Garamond" w:cs="Calibri"/>
        </w:rPr>
        <w:t xml:space="preserve"> für Philosophie, Goethe-Universität Frankfurt, and the Boston-Area Consortium for Kant and 19th Century German Philosophy</w:t>
      </w:r>
    </w:p>
    <w:p w14:paraId="00000013" w14:textId="77777777" w:rsidR="00B77014" w:rsidRPr="00E32341" w:rsidRDefault="00B77014" w:rsidP="00E32341">
      <w:pPr>
        <w:spacing w:line="360" w:lineRule="auto"/>
        <w:rPr>
          <w:rFonts w:ascii="Garamond" w:eastAsia="Calibri" w:hAnsi="Garamond" w:cs="Calibri"/>
        </w:rPr>
      </w:pPr>
    </w:p>
    <w:sectPr w:rsidR="00B77014" w:rsidRPr="00E32341">
      <w:pgSz w:w="11906" w:h="16838"/>
      <w:pgMar w:top="1417" w:right="1417" w:bottom="1134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EB658F39-0C48-6C40-85D4-8927ACAF1456}"/>
    <w:embedItalic r:id="rId2" w:fontKey="{02247EB4-8365-B64C-BC84-C782D7B08BBB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3" w:fontKey="{78352FFF-F792-2049-A5A2-BC8E9BA29D14}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144F576B-1049-7F4B-A334-92FB7A81ABF8}"/>
    <w:embedBold r:id="rId5" w:fontKey="{6B441262-DA02-8740-BD1E-54F461D704DC}"/>
    <w:embedItalic r:id="rId6" w:fontKey="{D75999C6-55C6-7C49-AB89-60E904DC856A}"/>
  </w:font>
  <w:font w:name="Garamond">
    <w:altName w:val="Garamond"/>
    <w:panose1 w:val="02020404030301010803"/>
    <w:charset w:val="00"/>
    <w:family w:val="roman"/>
    <w:pitch w:val="variable"/>
    <w:sig w:usb0="00000287" w:usb1="00000002" w:usb2="00000000" w:usb3="00000000" w:csb0="0000009F" w:csb1="00000000"/>
    <w:embedRegular r:id="rId7" w:fontKey="{BA341E0D-4D47-244F-8086-1DC26F5B4746}"/>
    <w:embedBold r:id="rId8" w:fontKey="{596CA10B-B35A-4F4D-9E94-F41AC29093F4}"/>
    <w:embedItalic r:id="rId9" w:fontKey="{2A2E1F63-8C1B-884E-82F4-318BC74C320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7159118E-2100-0342-A567-8080F2776042}"/>
    <w:embedBold r:id="rId11" w:fontKey="{76DC529B-3253-F148-940C-729CAF545093}"/>
    <w:embedItalic r:id="rId12" w:fontKey="{EE4E89FE-7DF7-474F-AEDA-8949B6A83A4F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014"/>
    <w:rsid w:val="00096112"/>
    <w:rsid w:val="007F1F9A"/>
    <w:rsid w:val="00B77014"/>
    <w:rsid w:val="00E3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A99E94"/>
  <w15:docId w15:val="{EE3D2C79-CB20-974F-8B6F-B2926ED0C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0E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E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E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E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E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E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E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E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E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00E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00E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E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E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E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E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E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E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E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E90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700E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E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E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E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E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0E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E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E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E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tDDkaUeC/6E1fr4/QY+u7EDccw==">CgMxLjA4AHIhMUVHejYtX0hHZ25tcG5RWjBnMUxCY2lqeEcwd1A0ZlpX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Davide Dalla Rosa</dc:creator>
  <cp:lastModifiedBy>Kuizhi Wang</cp:lastModifiedBy>
  <cp:revision>3</cp:revision>
  <dcterms:created xsi:type="dcterms:W3CDTF">2024-12-09T12:33:00Z</dcterms:created>
  <dcterms:modified xsi:type="dcterms:W3CDTF">2025-01-22T22:23:00Z</dcterms:modified>
</cp:coreProperties>
</file>